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Внесены изменения в Кодекс Российской Федерации об административных правонарушениях по защите информации.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23.05.2025 № 104-ФЗ внесены изменения в статьи 4.5 и 13.12 Кодекса Российской Федерации об административных правонарушениях (далее - КоАП РФ) и статью 1 Федерального закона «О внесении изменений в Кодекс Российской Федерации об административных правонарушениях», согласно которому увеличены размеры административных штрафов.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 несоблюдение федеральных требований о защите информации (кроме гостайны) должностному лицу по общему правилу грозит штраф от 10 тысяч до 50 тысяч рублей, а компании - от 50 тысяч до 100 тысяч рублей.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Аналогичные санкции предусмотрели для тех, кто использует несертифицированные средства защиты данных (кроме гостайны), если сертификация обязательна.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Срок давности привлечения к ответственности по всей статье КоАП РФ о несоблюдении правил защиты информации теперь составляет 1 год с даты нарушения.</w:t>
      </w:r>
    </w:p>
    <w:p w14:paraId="0A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2025-11-21T06:42:18Z</dcterms:modified>
</cp:coreProperties>
</file>